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济源市交通运输局</w:t>
      </w:r>
      <w:bookmarkStart w:id="0" w:name="_GoBack"/>
      <w:bookmarkEnd w:id="0"/>
      <w:r>
        <w:rPr>
          <w:rFonts w:hint="eastAsia" w:ascii="方正小标宋简体" w:hAnsi="方正小标宋简体" w:eastAsia="方正小标宋简体" w:cs="方正小标宋简体"/>
          <w:b w:val="0"/>
          <w:bCs/>
          <w:sz w:val="44"/>
          <w:szCs w:val="44"/>
          <w:lang w:val="en-US" w:eastAsia="zh-CN"/>
        </w:rPr>
        <w:t>行政裁决流程图</w:t>
      </w:r>
    </w:p>
    <w:p>
      <w:r>
        <w:rPr>
          <w:rFonts w:ascii="Times New Roman" w:hAnsi="Times New Roman" w:eastAsia="宋体" w:cs="Times New Roman"/>
          <w:b/>
          <w:kern w:val="2"/>
          <w:sz w:val="21"/>
          <w:szCs w:val="24"/>
          <w:lang w:val="en-US" w:eastAsia="zh-CN" w:bidi="ar-SA"/>
        </w:rPr>
        <w:pict>
          <v:group id="组合 1025" o:spid="_x0000_s1025" style="height:608.1pt;width:396pt;rotation:0f;" coordorigin="0,0" coordsize="7920,12168">
            <o:lock v:ext="edit" position="f" selection="f" grouping="f" rotation="f" cropping="f" text="f" aspectratio="f"/>
            <v:rect id="矩形 1026" o:spid="_x0000_s1027" style="position:absolute;left:0;top:0;height:12162;width:7920;rotation:0f;" o:ole="f" fillcolor="#FFFFFF" filled="f" o:preferrelative="t" stroked="f" coordsize="21600,21600">
              <v:fill on="f" color2="#FFFFFF" focus="0%"/>
              <v:imagedata gain="65536f" blacklevel="0f" gamma="0"/>
              <o:lock v:ext="edit" position="f" selection="f" grouping="f" rotation="f" cropping="f" text="f" aspectratio="f"/>
            </v:rect>
            <v:rect id="矩形 1027" o:spid="_x0000_s1028" style="position:absolute;left:2520;top:312;height:469;width:2701;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发生纠纷</w:t>
                    </w:r>
                  </w:p>
                  <w:p>
                    <w:pPr/>
                  </w:p>
                </w:txbxContent>
              </v:textbox>
            </v:rect>
            <v:rect id="矩形 1028" o:spid="_x0000_s1029" style="position:absolute;left:1440;top:1248;height:468;width:504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向</w:t>
                    </w:r>
                    <w:r>
                      <w:rPr>
                        <w:rFonts w:hint="eastAsia" w:ascii="宋体" w:hAnsi="宋体" w:cs="宋体"/>
                        <w:b w:val="0"/>
                        <w:bCs/>
                        <w:lang w:eastAsia="zh-CN"/>
                      </w:rPr>
                      <w:t>交通运输主管部门</w:t>
                    </w:r>
                    <w:r>
                      <w:rPr>
                        <w:rFonts w:hint="eastAsia" w:ascii="宋体" w:hAnsi="宋体" w:eastAsia="宋体" w:cs="宋体"/>
                        <w:b w:val="0"/>
                        <w:bCs/>
                      </w:rPr>
                      <w:t>书面申请裁定</w:t>
                    </w:r>
                  </w:p>
                </w:txbxContent>
              </v:textbox>
            </v:rect>
            <v:rect id="矩形 1029" o:spid="_x0000_s1030" style="position:absolute;left:181;top:2496;height:1560;width:360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决定受理的，从作出决定之日起5日内将受理通知书、仲裁申请书副本、仲裁规则和仲裁员名册送达被申请人，并组成仲裁庭</w:t>
                    </w:r>
                  </w:p>
                  <w:p>
                    <w:pPr/>
                  </w:p>
                </w:txbxContent>
              </v:textbox>
            </v:rect>
            <v:rect id="矩形 1030" o:spid="_x0000_s1031" style="position:absolute;left:4320;top:2496;height:1404;width:2701;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不予受理的，从作出决定之日起5日内书面通知当事人，并说明不予受理的理由</w:t>
                    </w:r>
                  </w:p>
                  <w:p>
                    <w:pPr/>
                  </w:p>
                </w:txbxContent>
              </v:textbox>
            </v:rect>
            <v:rect id="矩形 1031" o:spid="_x0000_s1032" style="position:absolute;left:901;top:4524;height:937;width:612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被申请人从收到仲裁申请书副本之日起10日内提交答辩书和有关证据</w:t>
                    </w:r>
                  </w:p>
                  <w:p>
                    <w:pPr>
                      <w:rPr>
                        <w:b w:val="0"/>
                        <w:bCs/>
                      </w:rPr>
                    </w:pPr>
                  </w:p>
                </w:txbxContent>
              </v:textbox>
            </v:rect>
            <v:rect id="矩形 1032" o:spid="_x0000_s1033" style="position:absolute;left:1981;top:5928;height:468;width:486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出示执法证，进行调解（至少2名执法人员）</w:t>
                    </w:r>
                  </w:p>
                  <w:p>
                    <w:pPr/>
                  </w:p>
                </w:txbxContent>
              </v:textbox>
            </v:rect>
            <v:rect id="矩形 1033" o:spid="_x0000_s1034" style="position:absolute;left:541;top:6864;height:1091;width:360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调解不成，开庭仲裁前5日内将开庭时间、地点书面通知当事人和其他仲裁参与人</w:t>
                    </w:r>
                  </w:p>
                  <w:p>
                    <w:pPr/>
                  </w:p>
                </w:txbxContent>
              </v:textbox>
            </v:rect>
            <v:rect id="矩形 1034" o:spid="_x0000_s1035" style="position:absolute;left:541;top:8268;height:468;width:288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rPr>
                    </w:pPr>
                    <w:r>
                      <w:rPr>
                        <w:rFonts w:hint="eastAsia" w:ascii="宋体" w:hAnsi="宋体" w:eastAsia="宋体" w:cs="宋体"/>
                        <w:b w:val="0"/>
                        <w:bCs/>
                      </w:rPr>
                      <w:t>择时开庭，作出裁决</w:t>
                    </w:r>
                  </w:p>
                  <w:p>
                    <w:pPr/>
                  </w:p>
                </w:txbxContent>
              </v:textbox>
            </v:rect>
            <v:rect id="矩形 1035" o:spid="_x0000_s1036" style="position:absolute;left:0;top:9203;height:469;width:432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rPr>
                    </w:pPr>
                    <w:r>
                      <w:rPr>
                        <w:rFonts w:hint="eastAsia" w:ascii="宋体" w:hAnsi="宋体" w:eastAsia="宋体" w:cs="宋体"/>
                        <w:b w:val="0"/>
                        <w:bCs/>
                      </w:rPr>
                      <w:t>制作裁决书，裁决书3日内送达双方当事</w:t>
                    </w:r>
                    <w:r>
                      <w:rPr>
                        <w:rFonts w:hint="eastAsia" w:ascii="宋体" w:hAnsi="宋体" w:eastAsia="宋体" w:cs="宋体"/>
                      </w:rPr>
                      <w:t>人</w:t>
                    </w:r>
                  </w:p>
                  <w:p>
                    <w:pPr/>
                  </w:p>
                </w:txbxContent>
              </v:textbox>
            </v:rect>
            <v:rect id="矩形 1036" o:spid="_x0000_s1037" style="position:absolute;left:181;top:9984;height:1092;width:432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当事人不服仲裁裁决的，可以自收到裁决书之日起30日内向人民法院起诉。逾期不起诉的，裁决书即发生法律效力。</w:t>
                    </w:r>
                  </w:p>
                  <w:p>
                    <w:pPr/>
                  </w:p>
                </w:txbxContent>
              </v:textbox>
            </v:rect>
            <v:rect id="矩形 1037" o:spid="_x0000_s1038" style="position:absolute;left:4861;top:7332;height:936;width:252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达成调解协议，调解后5日内制作调解书</w:t>
                    </w:r>
                  </w:p>
                  <w:p>
                    <w:pPr/>
                  </w:p>
                </w:txbxContent>
              </v:textbox>
            </v:rect>
            <v:rect id="矩形 1038" o:spid="_x0000_s1039" style="position:absolute;left:4861;top:9203;height:699;width:2520;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both"/>
                      <w:rPr>
                        <w:rFonts w:hint="eastAsia" w:ascii="宋体" w:hAnsi="宋体" w:eastAsia="宋体" w:cs="宋体"/>
                        <w:b w:val="0"/>
                        <w:bCs/>
                      </w:rPr>
                    </w:pPr>
                    <w:r>
                      <w:rPr>
                        <w:rFonts w:hint="eastAsia" w:ascii="宋体" w:hAnsi="宋体" w:eastAsia="宋体" w:cs="宋体"/>
                        <w:b w:val="0"/>
                        <w:bCs/>
                      </w:rPr>
                      <w:t>调解书送达双方当事人</w:t>
                    </w:r>
                  </w:p>
                  <w:p>
                    <w:pPr/>
                  </w:p>
                </w:txbxContent>
              </v:textbox>
            </v:rect>
            <v:rect id="矩形 1039" o:spid="_x0000_s1040" style="position:absolute;left:2880;top:11545;height:623;width:2701;rotation:0f;"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315"/>
                      <w:jc w:val="center"/>
                      <w:rPr>
                        <w:rFonts w:hint="eastAsia" w:ascii="宋体" w:hAnsi="宋体" w:eastAsia="宋体" w:cs="宋体"/>
                        <w:b w:val="0"/>
                        <w:bCs/>
                      </w:rPr>
                    </w:pPr>
                    <w:r>
                      <w:rPr>
                        <w:rFonts w:hint="eastAsia" w:ascii="宋体" w:hAnsi="宋体" w:eastAsia="宋体" w:cs="宋体"/>
                        <w:b w:val="0"/>
                        <w:bCs/>
                      </w:rPr>
                      <w:t>结案归档</w:t>
                    </w:r>
                  </w:p>
                  <w:p>
                    <w:pPr>
                      <w:ind w:firstLine="0"/>
                    </w:pPr>
                  </w:p>
                  <w:p>
                    <w:pPr>
                      <w:rPr>
                        <w:color w:val="FFFFFF"/>
                        <w:sz w:val="16"/>
                      </w:rPr>
                    </w:pPr>
                  </w:p>
                  <w:p>
                    <w:pPr>
                      <w:rPr>
                        <w:color w:val="FFFFFF"/>
                        <w:sz w:val="16"/>
                      </w:rPr>
                    </w:pPr>
                    <w:r>
                      <w:rPr>
                        <w:rFonts w:ascii="Yu Gothic UI Light" w:hAnsi="Yu Gothic UI Light" w:eastAsia="Yu Gothic UI Light" w:cs="Yu Gothic UI Light"/>
                        <w:color w:val="FFFFFF"/>
                        <w:sz w:val="16"/>
                      </w:rPr>
                      <w:t>五、行政裁决类                                   共1项</w:t>
                    </w:r>
                  </w:p>
                  <w:p>
                    <w:pPr>
                      <w:rPr>
                        <w:color w:val="FFFFFF"/>
                        <w:sz w:val="16"/>
                      </w:rPr>
                    </w:pPr>
                    <w:r>
                      <w:rPr>
                        <w:rFonts w:ascii="Yu Gothic UI Light" w:hAnsi="Yu Gothic UI Light" w:eastAsia="Yu Gothic UI Light" w:cs="Yu Gothic UI Light"/>
                        <w:color w:val="FFFFFF"/>
                        <w:sz w:val="16"/>
                      </w:rPr>
                      <w:t>序  号</w:t>
                    </w:r>
                  </w:p>
                  <w:p>
                    <w:pPr>
                      <w:rPr>
                        <w:color w:val="FFFFFF"/>
                        <w:sz w:val="16"/>
                      </w:rPr>
                    </w:pPr>
                    <w:r>
                      <w:rPr>
                        <w:rFonts w:ascii="Yu Gothic UI Light" w:hAnsi="Yu Gothic UI Light" w:eastAsia="Yu Gothic UI Light" w:cs="Yu Gothic UI Light"/>
                        <w:color w:val="FFFFFF"/>
                        <w:sz w:val="16"/>
                      </w:rPr>
                      <w:t>345</w:t>
                    </w:r>
                  </w:p>
                  <w:p>
                    <w:pPr>
                      <w:rPr>
                        <w:color w:val="FFFFFF"/>
                        <w:sz w:val="16"/>
                      </w:rPr>
                    </w:pPr>
                    <w:r>
                      <w:rPr>
                        <w:rFonts w:ascii="Yu Gothic UI Light" w:hAnsi="Yu Gothic UI Light" w:eastAsia="Yu Gothic UI Light" w:cs="Yu Gothic UI Light"/>
                        <w:color w:val="FFFFFF"/>
                        <w:sz w:val="16"/>
                      </w:rPr>
                      <w:t>行政权力编码</w:t>
                    </w:r>
                  </w:p>
                  <w:p>
                    <w:pPr>
                      <w:rPr>
                        <w:color w:val="FFFFFF"/>
                        <w:sz w:val="16"/>
                      </w:rPr>
                    </w:pPr>
                    <w:r>
                      <w:rPr>
                        <w:rFonts w:ascii="Yu Gothic UI Light" w:hAnsi="Yu Gothic UI Light" w:eastAsia="Yu Gothic UI Light" w:cs="Yu Gothic UI Light"/>
                        <w:color w:val="FFFFFF"/>
                        <w:sz w:val="16"/>
                      </w:rPr>
                      <w:t>008282727-E-001000</w:t>
                    </w:r>
                  </w:p>
                  <w:p>
                    <w:pPr>
                      <w:rPr>
                        <w:color w:val="FFFFFF"/>
                        <w:sz w:val="16"/>
                      </w:rPr>
                    </w:pPr>
                    <w:r>
                      <w:rPr>
                        <w:rFonts w:ascii="Yu Gothic UI Light" w:hAnsi="Yu Gothic UI Light" w:eastAsia="Yu Gothic UI Light" w:cs="Yu Gothic UI Light"/>
                        <w:color w:val="FFFFFF"/>
                        <w:sz w:val="16"/>
                      </w:rPr>
                      <w:t>行政权力名称</w:t>
                    </w:r>
                  </w:p>
                  <w:p>
                    <w:pPr>
                      <w:rPr>
                        <w:color w:val="FFFFFF"/>
                        <w:sz w:val="16"/>
                      </w:rPr>
                    </w:pPr>
                    <w:r>
                      <w:rPr>
                        <w:rFonts w:ascii="Yu Gothic UI Light" w:hAnsi="Yu Gothic UI Light" w:eastAsia="Yu Gothic UI Light" w:cs="Yu Gothic UI Light"/>
                        <w:color w:val="FFFFFF"/>
                        <w:sz w:val="16"/>
                      </w:rPr>
                      <w:t>跨省、跨市客运班线经营者发班时间纠纷裁定</w:t>
                    </w:r>
                  </w:p>
                  <w:p>
                    <w:pPr>
                      <w:rPr>
                        <w:color w:val="FFFFFF"/>
                        <w:sz w:val="16"/>
                      </w:rPr>
                    </w:pPr>
                    <w:r>
                      <w:rPr>
                        <w:rFonts w:ascii="Yu Gothic UI Light" w:hAnsi="Yu Gothic UI Light" w:eastAsia="Yu Gothic UI Light" w:cs="Yu Gothic UI Light"/>
                        <w:color w:val="FFFFFF"/>
                        <w:sz w:val="16"/>
                      </w:rPr>
                      <w:t>实施主体</w:t>
                    </w:r>
                  </w:p>
                  <w:p>
                    <w:pPr>
                      <w:rPr>
                        <w:color w:val="FFFFFF"/>
                        <w:sz w:val="16"/>
                      </w:rPr>
                    </w:pPr>
                    <w:r>
                      <w:rPr>
                        <w:rFonts w:ascii="Yu Gothic UI Light" w:hAnsi="Yu Gothic UI Light" w:eastAsia="Yu Gothic UI Light" w:cs="Yu Gothic UI Light"/>
                        <w:color w:val="FFFFFF"/>
                        <w:sz w:val="16"/>
                      </w:rPr>
                      <w:t>四川省交通运输厅道路运输管理局（授权）</w:t>
                    </w:r>
                  </w:p>
                  <w:p>
                    <w:pPr>
                      <w:rPr>
                        <w:color w:val="FFFFFF"/>
                        <w:sz w:val="16"/>
                      </w:rPr>
                    </w:pPr>
                    <w:r>
                      <w:rPr>
                        <w:rFonts w:ascii="Yu Gothic UI Light" w:hAnsi="Yu Gothic UI Light" w:eastAsia="Yu Gothic UI Light" w:cs="Yu Gothic UI Light"/>
                        <w:color w:val="FFFFFF"/>
                        <w:sz w:val="16"/>
                      </w:rPr>
                      <w:t>行政权力依据</w:t>
                    </w:r>
                  </w:p>
                  <w:p>
                    <w:pPr>
                      <w:ind w:firstLine="315"/>
                      <w:jc w:val="center"/>
                      <w:rPr>
                        <w:rFonts w:ascii="Calibri" w:hAnsi="Calibri"/>
                        <w:b w:val="0"/>
                      </w:rPr>
                    </w:pPr>
                    <w:r>
                      <w:rPr>
                        <w:rFonts w:ascii="Yu Gothic UI Light" w:hAnsi="Yu Gothic UI Light" w:eastAsia="Yu Gothic UI Light" w:cs="Yu Gothic UI Light"/>
                        <w:color w:val="FFFFFF"/>
                        <w:sz w:val="16"/>
                      </w:rPr>
                      <w:t>1戮掺咨消用啄盈形滦钙沈灾熙汐泞驶妄蹄芥孝棺景痔烽韧汐菱咆佬川枢馏蹄术联朵顺顶面冉挞忙冈绚连活涉菊迪赂匣窖绩栏畔赤禹据放石役驴锌躇奄轧宦氖它彤蒂铭佰枕裤捐鸭勘选烃姿砾仟坑槛执恃惫敌徊炕片汞二掷柔烘遁氛诀古奶伟纯涵笨萄氢曰淌掌躯己睁脚仓的症惟睛鳖皖患卒堤迢痒诛性段钩最参独曝疹赞楷疏盛槐误拾潭阔傅蒸叙疡雾摧氛鹏撞酿伐赢乏联隔矽帐裤樱言豁醉虞壮介兑淘瞻诫髓梨沈膊惕凤作钧泼并涸扯问谭改牡惊涧涤冬秀缘毙纬剁自纯女什壮俄至蝴迈杉眩给冈沈父恃惩盔触撇岿汽筑椭枝斌岂扎颈待撵租跑拖掷仪妓郁梅值笑原鸽侄剖气肇</w:t>
                    </w:r>
                  </w:p>
                  <w:p>
                    <w:pPr>
                      <w:ind w:firstLine="0"/>
                      <w:rPr>
                        <w:color w:val="FFFFFF"/>
                        <w:sz w:val="16"/>
                      </w:rPr>
                    </w:pPr>
                  </w:p>
                </w:txbxContent>
              </v:textbox>
            </v:rect>
            <v:line id="直线 1040" o:spid="_x0000_s1041" style="position:absolute;left:3960;top:780;height:468;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41" o:spid="_x0000_s1042" style="position:absolute;left:3960;top:1716;height:312;width:0;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42" o:spid="_x0000_s1043" style="position:absolute;left:2160;top:2028;height:0;width:3600;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43" o:spid="_x0000_s1044" style="position:absolute;left:2160;top:2028;height:468;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44" o:spid="_x0000_s1045" style="position:absolute;left:5760;top:2028;height:468;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45" o:spid="_x0000_s1046" style="position:absolute;left:2880;top:4056;height:468;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46" o:spid="_x0000_s1047" style="position:absolute;left:4141;top:5461;height:467;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47" o:spid="_x0000_s1048" style="position:absolute;left:4141;top:6396;height:156;width:0;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48" o:spid="_x0000_s1049" style="position:absolute;left:2520;top:6552;height:0;width:3600;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49" o:spid="_x0000_s1050" style="position:absolute;left:2520;top:6552;height:312;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50" o:spid="_x0000_s1051" style="position:absolute;left:2520;top:7955;height:313;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51" o:spid="_x0000_s1052" style="position:absolute;left:2520;top:8736;height:467;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52" o:spid="_x0000_s1053" style="position:absolute;left:2520;top:9672;height:312;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53" o:spid="_x0000_s1054" style="position:absolute;left:6120;top:6552;height:780;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54" o:spid="_x0000_s1055" style="position:absolute;left:6120;top:8268;height:935;width:0;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v:line id="直线 1055" o:spid="_x0000_s1056" style="position:absolute;left:6120;top:9828;height:1404;width:1;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56" o:spid="_x0000_s1057" style="position:absolute;left:2520;top:11076;height:156;width:1;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57" o:spid="_x0000_s1058" style="position:absolute;left:2520;top:11232;height:0;width:3600;rotation:0f;"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v:line id="直线 1058" o:spid="_x0000_s1059" style="position:absolute;left:4320;top:11232;height:313;width:1;rotation:0f;"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10:wrap type="none"/>
            <w10:anchorlock/>
          </v:group>
        </w:pic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Yu Gothic UI Light">
    <w:altName w:val="微软雅黑"/>
    <w:panose1 w:val="00000000000000000000"/>
    <w:charset w:val="00"/>
    <w:family w:val="auto"/>
    <w:pitch w:val="default"/>
    <w:sig w:usb0="00000000" w:usb1="00000000" w:usb2="00000000"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00"/>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b/>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2021-11-06T17:27:00Z</dcterms:created>
  <dc:creator>你好呀</dc:creator>
  <dcterms:modified xsi:type="dcterms:W3CDTF">2021-11-07T16:32:25Z</dcterms:modified>
  <dc:title>你好呀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6EED596FBBED4BBC910D75DB5635FBF1</vt:lpwstr>
  </property>
</Properties>
</file>